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3.png" ContentType="image/png"/>
  <Override PartName="/word/media/rId79.png" ContentType="image/png"/>
  <Override PartName="/word/media/rId77.png" ContentType="image/png"/>
  <Override PartName="/word/media/rId80.png" ContentType="image/png"/>
  <Override PartName="/word/media/rId81.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All of our estimators rely on meeting several assumptions:</w:t>
      </w:r>
      <w:r>
        <w:t xml:space="preserve"> </w:t>
      </w:r>
      <w:r>
        <w:t xml:space="preserve">1. The population in closed (no immigration, emigration, births or deaths during the sampling period).</w:t>
      </w:r>
      <w:r>
        <w:t xml:space="preserve"> </w:t>
      </w:r>
      <w:r>
        <w:t xml:space="preserve">1. Marking a fish does not affect its chances of being caught</w:t>
      </w:r>
      <w:r>
        <w:t xml:space="preserve"> </w:t>
      </w:r>
      <w:r>
        <w:t xml:space="preserve">1. No loss of marks</w:t>
      </w:r>
      <w:r>
        <w:t xml:space="preserve"> </w:t>
      </w:r>
      <w:r>
        <w:t xml:space="preserve">1. No marks are missed or mistaken</w:t>
      </w:r>
      <w:r>
        <w:t xml:space="preserve"> </w:t>
      </w:r>
      <w:r>
        <w:t xml:space="preserve">1. All fish have the same chance of being caught in the second (and subsequent) sample(s)</w:t>
      </w:r>
    </w:p>
    <w:p>
      <w:pPr>
        <w:pStyle w:val="BodyText"/>
      </w:pPr>
      <w:r>
        <w:t xml:space="preserve">We applied several abundance estimators, which fell into two broad categories: single census and multiple census. For the single census estimators, we treated the first week of sampling as the mark event, and the second week as the recapture event, pooling data within each of those weeks. The multiple census estimators treat each day as a survey, and use information about the total marked fish from all previous surveys to infer the total abundance.</w:t>
      </w:r>
    </w:p>
    <w:p>
      <w:pPr>
        <w:pStyle w:val="BodyText"/>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3" w:name="literature-cited"/>
    <w:p>
      <w:pPr>
        <w:pStyle w:val="Heading1"/>
      </w:pPr>
      <w:r>
        <w:t xml:space="preserve">Literature Cited</w:t>
      </w:r>
    </w:p>
    <w:bookmarkStart w:id="72"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9"/>
    <w:bookmarkStart w:id="60"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0"/>
    <w:bookmarkStart w:id="61"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1"/>
    <w:bookmarkStart w:id="62"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2"/>
    <w:bookmarkStart w:id="63"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3"/>
    <w:bookmarkStart w:id="64"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4"/>
    <w:bookmarkStart w:id="65"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5"/>
    <w:bookmarkStart w:id="66"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6"/>
    <w:bookmarkStart w:id="6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7"/>
    <w:bookmarkStart w:id="6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8"/>
    <w:bookmarkStart w:id="6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9"/>
    <w:bookmarkStart w:id="7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70"/>
    <w:bookmarkStart w:id="7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1"/>
    <w:bookmarkEnd w:id="72"/>
    <w:p>
      <w:r>
        <w:br w:type="page"/>
      </w:r>
    </w:p>
    <w:bookmarkEnd w:id="73"/>
    <w:bookmarkStart w:id="75" w:name="tables"/>
    <w:p>
      <w:pPr>
        <w:pStyle w:val="Heading1"/>
      </w:pPr>
      <w:r>
        <w:t xml:space="preserve">Tables</w:t>
      </w:r>
    </w:p>
    <w:bookmarkStart w:id="74" w:name="tables"/>
    <w:bookmarkEnd w:id="74"/>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5"/>
    <w:bookmarkStart w:id="85" w:name="figures"/>
    <w:p>
      <w:pPr>
        <w:pStyle w:val="Heading1"/>
      </w:pPr>
      <w:r>
        <w:t xml:space="preserve">Figures</w:t>
      </w:r>
    </w:p>
    <w:bookmarkStart w:id="76" w:name="figures"/>
    <w:bookmarkEnd w:id="76"/>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7"/>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4" w:name="colophon"/>
    <w:p>
      <w:pPr>
        <w:pStyle w:val="Heading3"/>
      </w:pPr>
      <w:r>
        <w:t xml:space="preserve">Colophon</w:t>
      </w:r>
    </w:p>
    <w:p>
      <w:pPr>
        <w:pStyle w:val="FirstParagraph"/>
      </w:pPr>
      <w:r>
        <w:t xml:space="preserve">This report was generated on 2021-11-24 07:51:08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[aadda27] 2021-11-24: moved a chunk of code</w:t>
      </w:r>
    </w:p>
    <w:bookmarkEnd w:id="84"/>
    <w:bookmarkEnd w:id="85"/>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2021-11-24T14:51:10Z</dcterms:created>
  <dcterms:modified xsi:type="dcterms:W3CDTF">2021-11-24T14:51:10Z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